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Kultura 1. poloviny 19. století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Romantismus</w:t>
      </w:r>
    </w:p>
    <w:p>
      <w:pPr>
        <w:pStyle w:val="Normal"/>
        <w:spacing w:lineRule="auto" w:line="240"/>
        <w:rPr/>
      </w:pPr>
      <w:r>
        <w:rPr/>
        <w:t>V období osvícenství (kladlo důraz na rozum) se odehrávaly napoleonské války, které přinesly Evropě útrapy --&gt; vznikl nový umělecký směr – romantismus, který dával přednost citům, vášním, prožitkům a fantazii.</w:t>
      </w:r>
    </w:p>
    <w:p>
      <w:pPr>
        <w:pStyle w:val="Normal"/>
        <w:spacing w:lineRule="auto" w:line="240"/>
        <w:rPr/>
      </w:pPr>
      <w:r>
        <w:rPr/>
        <w:t>V osvícenství byl kladen důraz na řád, romantické umělce přitahovala svoboda a nespoutanost.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Architektura</w:t>
      </w:r>
    </w:p>
    <w:p>
      <w:pPr>
        <w:pStyle w:val="Normal"/>
        <w:spacing w:lineRule="auto" w:line="240"/>
        <w:rPr/>
      </w:pPr>
      <w:r>
        <w:rPr/>
        <w:t>napodobovala historické slohy --&gt; vznikla: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b/>
        </w:rPr>
        <w:t>novogotika</w:t>
      </w:r>
      <w:r>
        <w:rPr/>
        <w:t xml:space="preserve"> (pseudogotika) – např. londýnský Parlament, zámek Hluboká</w:t>
      </w:r>
    </w:p>
    <w:p>
      <w:pPr>
        <w:pStyle w:val="ListParagraph"/>
        <w:numPr>
          <w:ilvl w:val="0"/>
          <w:numId w:val="1"/>
        </w:numPr>
        <w:spacing w:lineRule="auto" w:line="240"/>
        <w:rPr/>
      </w:pPr>
      <w:r>
        <w:rPr>
          <w:b/>
        </w:rPr>
        <w:t xml:space="preserve">novorenesance </w:t>
      </w:r>
      <w:r>
        <w:rPr/>
        <w:t>(pseudorenesance) – Národní divadlo v Praze (postaveno ale až ve 2. polovině 19. století)</w:t>
      </w:r>
    </w:p>
    <w:p>
      <w:pPr>
        <w:pStyle w:val="Normal"/>
        <w:spacing w:lineRule="auto" w:line="240"/>
        <w:rPr/>
      </w:pPr>
      <w:r>
        <w:rPr/>
        <w:t>Vznikaly veřejné parky, které měly budit dojem volné přírody – říká se jim anglický park. Byla v nich jezírka, výletní restaurace, altány, umělé zříceniny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Malířství</w:t>
      </w:r>
    </w:p>
    <w:p>
      <w:pPr>
        <w:pStyle w:val="Normal"/>
        <w:spacing w:lineRule="auto" w:line="240"/>
        <w:rPr/>
      </w:pPr>
      <w:r>
        <w:rPr/>
        <w:t>Romantičtí malíři nejraději zachycovali buď dramatické zakončení nějakého děje, nebo snové, temné krajiny a přírodní živly.</w:t>
      </w:r>
    </w:p>
    <w:p>
      <w:pPr>
        <w:pStyle w:val="Normal"/>
        <w:spacing w:lineRule="auto" w:line="240"/>
        <w:rPr/>
      </w:pPr>
      <w:r>
        <w:rPr/>
        <w:t>Francouz Eugène Delacroix</w:t>
      </w:r>
    </w:p>
    <w:p>
      <w:pPr>
        <w:pStyle w:val="Normal"/>
        <w:spacing w:lineRule="auto" w:line="240"/>
        <w:rPr/>
      </w:pPr>
      <w:r>
        <w:rPr/>
        <w:t>Španěl Francisco Goya</w:t>
      </w:r>
    </w:p>
    <w:p>
      <w:pPr>
        <w:pStyle w:val="Normal"/>
        <w:spacing w:lineRule="auto" w:line="240"/>
        <w:rPr/>
      </w:pPr>
      <w:r>
        <w:rPr/>
        <w:t>Češi:</w:t>
      </w:r>
    </w:p>
    <w:p>
      <w:pPr>
        <w:pStyle w:val="Normal"/>
        <w:spacing w:lineRule="auto" w:line="240"/>
        <w:rPr/>
      </w:pPr>
      <w:r>
        <w:rPr/>
        <w:t>Antonín Mánes – krajiny</w:t>
      </w:r>
    </w:p>
    <w:p>
      <w:pPr>
        <w:pStyle w:val="Normal"/>
        <w:spacing w:lineRule="auto" w:line="240"/>
        <w:rPr/>
      </w:pPr>
      <w:r>
        <w:rPr/>
        <w:t>jeho syn Josef Mánes – kalendářní deska Dvanáct měsíců na Staroměstském orloji</w:t>
      </w:r>
    </w:p>
    <w:p>
      <w:pPr>
        <w:pStyle w:val="Normal"/>
        <w:spacing w:lineRule="auto" w:line="240"/>
        <w:rPr/>
      </w:pPr>
      <w:r>
        <w:rPr/>
        <w:t>Josef Navrátil – krajiny, zátiší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Sochařství</w:t>
      </w:r>
    </w:p>
    <w:p>
      <w:pPr>
        <w:pStyle w:val="Normal"/>
        <w:spacing w:lineRule="auto" w:line="240"/>
        <w:rPr/>
      </w:pPr>
      <w:r>
        <w:rPr/>
        <w:t>Josef Václav Myslbek – romantismus a monumentální realismus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jezdecká socha Sv. Václava na Václavském náměstí</w:t>
      </w:r>
    </w:p>
    <w:p>
      <w:pPr>
        <w:pStyle w:val="ListParagraph"/>
        <w:numPr>
          <w:ilvl w:val="0"/>
          <w:numId w:val="2"/>
        </w:numPr>
        <w:spacing w:lineRule="auto" w:line="240"/>
        <w:rPr/>
      </w:pPr>
      <w:r>
        <w:rPr/>
        <w:t>socha Jana Žižky v Čáslavi</w:t>
      </w:r>
    </w:p>
    <w:p>
      <w:pPr>
        <w:pStyle w:val="Normal"/>
        <w:spacing w:lineRule="auto" w:line="240"/>
        <w:rPr>
          <w:b/>
          <w:b/>
        </w:rPr>
      </w:pPr>
      <w:r>
        <w:rPr>
          <w:b/>
        </w:rPr>
        <w:t>Hudba</w:t>
      </w:r>
    </w:p>
    <w:p>
      <w:pPr>
        <w:pStyle w:val="Normal"/>
        <w:spacing w:lineRule="auto" w:line="240"/>
        <w:rPr/>
      </w:pPr>
      <w:r>
        <w:rPr/>
        <w:t>opera</w:t>
      </w:r>
    </w:p>
    <w:p>
      <w:pPr>
        <w:pStyle w:val="Normal"/>
        <w:spacing w:lineRule="auto" w:line="240"/>
        <w:rPr/>
      </w:pPr>
      <w:r>
        <w:rPr/>
        <w:t>Ludwig van Beethoven</w:t>
      </w:r>
    </w:p>
    <w:p>
      <w:pPr>
        <w:pStyle w:val="Normal"/>
        <w:spacing w:lineRule="auto" w:line="240"/>
        <w:rPr/>
      </w:pPr>
      <w:r>
        <w:rPr/>
        <w:t>Richard Wagner</w:t>
      </w:r>
    </w:p>
    <w:p>
      <w:pPr>
        <w:pStyle w:val="Normal"/>
        <w:spacing w:lineRule="auto" w:line="240"/>
        <w:rPr/>
      </w:pPr>
      <w:r>
        <w:rPr/>
        <w:t>Giuseppe Verdi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Biedermeier</w:t>
      </w:r>
    </w:p>
    <w:p>
      <w:pPr>
        <w:pStyle w:val="Normal"/>
        <w:spacing w:lineRule="auto" w:line="240" w:before="0" w:after="160"/>
        <w:rPr/>
      </w:pPr>
      <w:r>
        <w:rPr/>
        <w:t>neoznačuje umělecký sloh, ale měšťanský životní styl 1. pol. 19. století --&gt; projevuje se v užitém umění. Užité umění je umění týkající se předmětů denní potřeby: nábytku, nádobí apod. Díky tovární výrobě zlevnil porcelán nebo látky --&gt; měšťané si kupovali čalouněný nábytek (dříve byl dostupný jen šlechtě), porcelánové nádobí a zařizovali si útulné domácnosti.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e5dcd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f112f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e5d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LibreOffice/5.2.0.4$Windows_X86_64 LibreOffice_project/066b007f5ebcc236395c7d282ba488bca6720265</Application>
  <Pages>1</Pages>
  <Words>232</Words>
  <Characters>1412</Characters>
  <CharactersWithSpaces>1616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2020-01-23T19:05:00Z</dcterms:created>
  <dc:creator>PC</dc:creator>
  <dc:description/>
  <dc:language>cs-CZ</dc:language>
  <cp:lastModifiedBy/>
  <dcterms:modified xsi:type="dcterms:W3CDTF">2020-01-24T07:37:26Z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