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D2C1" w14:textId="77777777" w:rsidR="002A6DCF" w:rsidRDefault="002A6DCF" w:rsidP="002A6DCF">
      <w:pPr>
        <w:jc w:val="both"/>
        <w:rPr>
          <w:lang w:val="cs-CZ"/>
        </w:rPr>
      </w:pPr>
    </w:p>
    <w:p w14:paraId="3D67FAE6" w14:textId="77777777" w:rsidR="002A6DCF" w:rsidRPr="002A6DCF" w:rsidRDefault="002A6DCF" w:rsidP="002A6DCF">
      <w:pPr>
        <w:pStyle w:val="Nadpis3"/>
        <w:jc w:val="center"/>
        <w:rPr>
          <w:sz w:val="28"/>
          <w:szCs w:val="28"/>
          <w:u w:val="none"/>
        </w:rPr>
      </w:pPr>
      <w:r w:rsidRPr="002A6DCF">
        <w:rPr>
          <w:sz w:val="28"/>
          <w:szCs w:val="28"/>
          <w:u w:val="none"/>
        </w:rPr>
        <w:t>Stavová rovnice</w:t>
      </w:r>
    </w:p>
    <w:p w14:paraId="591119A7" w14:textId="77777777" w:rsidR="002A6DCF" w:rsidRPr="002A6DCF" w:rsidRDefault="002A6DCF" w:rsidP="002A6DCF">
      <w:pPr>
        <w:rPr>
          <w:lang w:val="cs-CZ"/>
        </w:rPr>
      </w:pPr>
    </w:p>
    <w:p w14:paraId="0011FC2E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Plyn, který je </w:t>
      </w:r>
      <w:r w:rsidRPr="002A6DCF">
        <w:rPr>
          <w:i/>
          <w:lang w:val="cs-CZ"/>
        </w:rPr>
        <w:t>v rovnovážném stavu</w:t>
      </w:r>
      <w:r w:rsidRPr="002A6DCF">
        <w:rPr>
          <w:lang w:val="cs-CZ"/>
        </w:rPr>
        <w:t xml:space="preserve">, lze charakterizovat </w:t>
      </w:r>
      <w:r w:rsidRPr="002A6DCF">
        <w:rPr>
          <w:b/>
          <w:lang w:val="cs-CZ"/>
        </w:rPr>
        <w:t>stavovými veličinami</w:t>
      </w:r>
      <w:r w:rsidRPr="002A6DCF">
        <w:rPr>
          <w:lang w:val="cs-CZ"/>
        </w:rPr>
        <w:t xml:space="preserve">: </w:t>
      </w:r>
      <w:r w:rsidRPr="002A6DCF">
        <w:rPr>
          <w:b/>
          <w:lang w:val="cs-CZ"/>
        </w:rPr>
        <w:t>termo-dynamickou teplotou</w:t>
      </w: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t>T</w:t>
      </w:r>
      <w:r w:rsidRPr="002A6DCF">
        <w:rPr>
          <w:lang w:val="cs-CZ"/>
        </w:rPr>
        <w:t xml:space="preserve">, </w:t>
      </w:r>
      <w:r w:rsidRPr="002A6DCF">
        <w:rPr>
          <w:b/>
          <w:lang w:val="cs-CZ"/>
        </w:rPr>
        <w:t>tlakem</w:t>
      </w: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t>p</w:t>
      </w:r>
      <w:r w:rsidRPr="002A6DCF">
        <w:rPr>
          <w:lang w:val="cs-CZ"/>
        </w:rPr>
        <w:t xml:space="preserve">, </w:t>
      </w:r>
      <w:r w:rsidRPr="002A6DCF">
        <w:rPr>
          <w:b/>
          <w:lang w:val="cs-CZ"/>
        </w:rPr>
        <w:t>objemem</w:t>
      </w: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t>V</w:t>
      </w:r>
      <w:r w:rsidRPr="002A6DCF">
        <w:rPr>
          <w:lang w:val="cs-CZ"/>
        </w:rPr>
        <w:t xml:space="preserve"> a </w:t>
      </w:r>
      <w:r w:rsidRPr="002A6DCF">
        <w:rPr>
          <w:b/>
          <w:lang w:val="cs-CZ"/>
        </w:rPr>
        <w:t>počtem molekul</w:t>
      </w: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t>N</w:t>
      </w:r>
      <w:r w:rsidRPr="002A6DCF">
        <w:rPr>
          <w:lang w:val="cs-CZ"/>
        </w:rPr>
        <w:t xml:space="preserve"> (popř. </w:t>
      </w:r>
      <w:r w:rsidRPr="002A6DCF">
        <w:rPr>
          <w:b/>
          <w:lang w:val="cs-CZ"/>
        </w:rPr>
        <w:t>látkovým množstvím</w:t>
      </w: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t>n</w:t>
      </w:r>
      <w:r w:rsidRPr="002A6DCF">
        <w:rPr>
          <w:lang w:val="cs-CZ"/>
        </w:rPr>
        <w:t xml:space="preserve"> nebo </w:t>
      </w:r>
      <w:r w:rsidRPr="002A6DCF">
        <w:rPr>
          <w:b/>
          <w:lang w:val="cs-CZ"/>
        </w:rPr>
        <w:t xml:space="preserve">hmotností plynu </w:t>
      </w:r>
      <w:r w:rsidRPr="002A6DCF">
        <w:rPr>
          <w:i/>
          <w:lang w:val="cs-CZ"/>
        </w:rPr>
        <w:t>m</w:t>
      </w:r>
      <w:r w:rsidRPr="002A6DCF">
        <w:rPr>
          <w:lang w:val="cs-CZ"/>
        </w:rPr>
        <w:t xml:space="preserve">). </w:t>
      </w:r>
      <w:r>
        <w:rPr>
          <w:lang w:val="cs-CZ"/>
        </w:rPr>
        <w:t>R</w:t>
      </w:r>
      <w:r w:rsidRPr="002A6DCF">
        <w:rPr>
          <w:lang w:val="cs-CZ"/>
        </w:rPr>
        <w:t xml:space="preserve">ovnice, který vyjadřuje vztah mezi těmito veličinami, se nazývá </w:t>
      </w:r>
      <w:r w:rsidRPr="002A6DCF">
        <w:rPr>
          <w:b/>
          <w:lang w:val="cs-CZ"/>
        </w:rPr>
        <w:t>stavová rovnice</w:t>
      </w:r>
      <w:r w:rsidRPr="002A6DCF">
        <w:rPr>
          <w:lang w:val="cs-CZ"/>
        </w:rPr>
        <w:t>.</w:t>
      </w:r>
    </w:p>
    <w:p w14:paraId="4D042263" w14:textId="77777777" w:rsidR="002A6DCF" w:rsidRDefault="002A6DCF" w:rsidP="002A6DCF">
      <w:pPr>
        <w:jc w:val="both"/>
        <w:rPr>
          <w:lang w:val="cs-CZ"/>
        </w:rPr>
      </w:pPr>
    </w:p>
    <w:p w14:paraId="32A81A37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lang w:val="cs-CZ"/>
        </w:rPr>
        <w:t xml:space="preserve">p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V = N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k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T</w:t>
      </w:r>
    </w:p>
    <w:p w14:paraId="760286D2" w14:textId="77777777" w:rsidR="002A6DCF" w:rsidRPr="009D0408" w:rsidRDefault="002A6DCF" w:rsidP="002A6DCF">
      <w:pPr>
        <w:jc w:val="both"/>
        <w:rPr>
          <w:szCs w:val="20"/>
          <w:lang w:val="cs-CZ"/>
        </w:rPr>
      </w:pPr>
      <w:r w:rsidRPr="009D0408">
        <w:rPr>
          <w:i/>
          <w:lang w:val="cs-CZ"/>
        </w:rPr>
        <w:t>k</w:t>
      </w:r>
      <w:r w:rsidRPr="009D0408">
        <w:rPr>
          <w:lang w:val="cs-CZ"/>
        </w:rPr>
        <w:t xml:space="preserve"> je </w:t>
      </w:r>
      <w:proofErr w:type="spellStart"/>
      <w:r w:rsidRPr="009D0408">
        <w:rPr>
          <w:b/>
          <w:lang w:val="cs-CZ"/>
        </w:rPr>
        <w:t>Boltzmannova</w:t>
      </w:r>
      <w:proofErr w:type="spellEnd"/>
      <w:r w:rsidRPr="009D0408">
        <w:rPr>
          <w:b/>
          <w:lang w:val="cs-CZ"/>
        </w:rPr>
        <w:t xml:space="preserve"> konstanta</w:t>
      </w:r>
      <w:r w:rsidRPr="009D0408">
        <w:rPr>
          <w:lang w:val="cs-CZ"/>
        </w:rPr>
        <w:t xml:space="preserve"> k = 1,38 </w:t>
      </w:r>
      <w:r w:rsidRPr="009D0408">
        <w:rPr>
          <w:lang w:val="cs-CZ"/>
        </w:rPr>
        <w:sym w:font="Symbol" w:char="00D7"/>
      </w:r>
      <w:r w:rsidRPr="009D0408">
        <w:rPr>
          <w:lang w:val="cs-CZ"/>
        </w:rPr>
        <w:t xml:space="preserve"> 10</w:t>
      </w:r>
      <w:r w:rsidRPr="009D0408">
        <w:rPr>
          <w:vertAlign w:val="superscript"/>
          <w:lang w:val="cs-CZ"/>
        </w:rPr>
        <w:t>–23</w:t>
      </w:r>
      <w:r w:rsidRPr="009D0408">
        <w:rPr>
          <w:lang w:val="cs-CZ"/>
        </w:rPr>
        <w:t xml:space="preserve"> J </w:t>
      </w:r>
      <w:r w:rsidRPr="009D0408">
        <w:rPr>
          <w:lang w:val="cs-CZ"/>
        </w:rPr>
        <w:sym w:font="Symbol" w:char="00D7"/>
      </w:r>
      <w:r w:rsidRPr="009D0408">
        <w:rPr>
          <w:lang w:val="cs-CZ"/>
        </w:rPr>
        <w:t xml:space="preserve"> K</w:t>
      </w:r>
      <w:r w:rsidRPr="009D0408">
        <w:rPr>
          <w:vertAlign w:val="superscript"/>
          <w:lang w:val="cs-CZ"/>
        </w:rPr>
        <w:t>–1</w:t>
      </w:r>
    </w:p>
    <w:p w14:paraId="59FB1422" w14:textId="77777777" w:rsidR="002A6DCF" w:rsidRDefault="002A6DCF" w:rsidP="002A6DCF">
      <w:pPr>
        <w:jc w:val="center"/>
        <w:rPr>
          <w:lang w:val="cs-CZ"/>
        </w:rPr>
      </w:pPr>
    </w:p>
    <w:p w14:paraId="10404149" w14:textId="77777777" w:rsidR="002A6DCF" w:rsidRDefault="002A6DCF" w:rsidP="002A6DCF">
      <w:pPr>
        <w:jc w:val="center"/>
        <w:rPr>
          <w:lang w:val="cs-CZ"/>
        </w:rPr>
      </w:pPr>
    </w:p>
    <w:p w14:paraId="0C153456" w14:textId="77777777" w:rsidR="002A6DCF" w:rsidRDefault="002A6DCF" w:rsidP="002A6DCF">
      <w:pPr>
        <w:jc w:val="center"/>
        <w:rPr>
          <w:lang w:val="cs-CZ"/>
        </w:rPr>
      </w:pPr>
    </w:p>
    <w:p w14:paraId="24857E2B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lang w:val="cs-CZ"/>
        </w:rPr>
        <w:t xml:space="preserve">p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V = n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R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T</w:t>
      </w:r>
    </w:p>
    <w:p w14:paraId="3045F091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 </w:t>
      </w:r>
      <w:r w:rsidRPr="002A6DCF">
        <w:rPr>
          <w:b/>
          <w:lang w:val="cs-CZ"/>
        </w:rPr>
        <w:t>molární plynová konstanta</w:t>
      </w:r>
      <w:r w:rsidRPr="002A6DCF">
        <w:rPr>
          <w:lang w:val="cs-CZ"/>
        </w:rPr>
        <w:t xml:space="preserve"> R = N</w:t>
      </w:r>
      <w:r w:rsidRPr="002A6DCF">
        <w:rPr>
          <w:vertAlign w:val="subscript"/>
          <w:lang w:val="cs-CZ"/>
        </w:rPr>
        <w:t>A</w:t>
      </w:r>
      <w:r w:rsidRPr="002A6DCF">
        <w:rPr>
          <w:lang w:val="cs-CZ"/>
        </w:rPr>
        <w:t> 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 k = 8,314 J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K</w:t>
      </w:r>
      <w:r w:rsidRPr="002A6DCF">
        <w:rPr>
          <w:vertAlign w:val="superscript"/>
          <w:lang w:val="cs-CZ"/>
        </w:rPr>
        <w:t>–1</w:t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mol</w:t>
      </w:r>
      <w:r w:rsidRPr="002A6DCF">
        <w:rPr>
          <w:vertAlign w:val="superscript"/>
          <w:lang w:val="cs-CZ"/>
        </w:rPr>
        <w:t>–1</w:t>
      </w:r>
      <w:r w:rsidRPr="002A6DCF">
        <w:rPr>
          <w:lang w:val="cs-CZ"/>
        </w:rPr>
        <w:t xml:space="preserve"> </w:t>
      </w:r>
    </w:p>
    <w:p w14:paraId="062AC651" w14:textId="77777777" w:rsidR="002A6DCF" w:rsidRDefault="002A6DCF" w:rsidP="002A6DCF">
      <w:pPr>
        <w:jc w:val="both"/>
        <w:rPr>
          <w:lang w:val="cs-CZ"/>
        </w:rPr>
      </w:pPr>
    </w:p>
    <w:p w14:paraId="3206CA86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Látkové množství</w:t>
      </w:r>
      <w:r>
        <w:rPr>
          <w:lang w:val="cs-CZ"/>
        </w:rPr>
        <w:t xml:space="preserve"> </w:t>
      </w:r>
      <w:r w:rsidRPr="002A6DCF">
        <w:rPr>
          <w:i/>
          <w:lang w:val="cs-CZ"/>
        </w:rPr>
        <w:t>n</w:t>
      </w:r>
      <w:r w:rsidRPr="002A6DCF">
        <w:rPr>
          <w:lang w:val="cs-CZ"/>
        </w:rPr>
        <w:t xml:space="preserve"> lze určit podílem hmotnosti plynu </w:t>
      </w:r>
      <w:r w:rsidRPr="002A6DCF">
        <w:rPr>
          <w:i/>
          <w:lang w:val="cs-CZ"/>
        </w:rPr>
        <w:t>m</w:t>
      </w:r>
      <w:r w:rsidRPr="002A6DCF">
        <w:rPr>
          <w:lang w:val="cs-CZ"/>
        </w:rPr>
        <w:t xml:space="preserve"> a molární hmotnosti plynu </w:t>
      </w:r>
      <w:r w:rsidRPr="002A6DCF">
        <w:rPr>
          <w:i/>
          <w:lang w:val="cs-CZ"/>
        </w:rPr>
        <w:t>M</w:t>
      </w:r>
      <w:r w:rsidRPr="002A6DCF">
        <w:rPr>
          <w:vertAlign w:val="subscript"/>
          <w:lang w:val="cs-CZ"/>
        </w:rPr>
        <w:t>m</w:t>
      </w:r>
      <w:r w:rsidRPr="002A6DCF">
        <w:rPr>
          <w:lang w:val="cs-CZ"/>
        </w:rPr>
        <w:t> </w:t>
      </w:r>
    </w:p>
    <w:p w14:paraId="499439E4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 </w:t>
      </w:r>
    </w:p>
    <w:p w14:paraId="567DB70B" w14:textId="77777777" w:rsidR="002A6DCF" w:rsidRDefault="002A6DCF" w:rsidP="002A6DCF">
      <w:pPr>
        <w:jc w:val="both"/>
        <w:rPr>
          <w:szCs w:val="20"/>
          <w:lang w:val="cs-CZ"/>
        </w:rPr>
      </w:pPr>
    </w:p>
    <w:p w14:paraId="2FE40B52" w14:textId="77777777" w:rsidR="002A6DCF" w:rsidRDefault="002A6DCF" w:rsidP="002A6DCF">
      <w:pPr>
        <w:jc w:val="both"/>
        <w:rPr>
          <w:szCs w:val="20"/>
          <w:lang w:val="cs-CZ"/>
        </w:rPr>
      </w:pPr>
    </w:p>
    <w:p w14:paraId="5A9318F6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58317CD8" w14:textId="77777777" w:rsidR="002A6DCF" w:rsidRDefault="002A6DCF">
      <w:pPr>
        <w:spacing w:after="160" w:line="259" w:lineRule="auto"/>
        <w:rPr>
          <w:b/>
          <w:sz w:val="28"/>
          <w:szCs w:val="28"/>
          <w:lang w:val="cs-CZ"/>
        </w:rPr>
      </w:pPr>
      <w:r>
        <w:rPr>
          <w:bCs/>
          <w:sz w:val="28"/>
          <w:szCs w:val="28"/>
        </w:rPr>
        <w:br w:type="page"/>
      </w:r>
    </w:p>
    <w:p w14:paraId="7D8F3E63" w14:textId="77777777" w:rsidR="002A6DCF" w:rsidRDefault="002A6DCF" w:rsidP="002A6DCF">
      <w:pPr>
        <w:pStyle w:val="Nadpis3"/>
        <w:jc w:val="center"/>
        <w:rPr>
          <w:bCs w:val="0"/>
          <w:sz w:val="28"/>
          <w:szCs w:val="28"/>
          <w:u w:val="none"/>
        </w:rPr>
      </w:pPr>
      <w:r w:rsidRPr="002A6DCF">
        <w:rPr>
          <w:bCs w:val="0"/>
          <w:sz w:val="28"/>
          <w:szCs w:val="28"/>
          <w:u w:val="none"/>
        </w:rPr>
        <w:lastRenderedPageBreak/>
        <w:t>Tepelné děje v</w:t>
      </w:r>
      <w:r>
        <w:rPr>
          <w:bCs w:val="0"/>
          <w:sz w:val="28"/>
          <w:szCs w:val="28"/>
          <w:u w:val="none"/>
        </w:rPr>
        <w:t> </w:t>
      </w:r>
      <w:r w:rsidRPr="002A6DCF">
        <w:rPr>
          <w:bCs w:val="0"/>
          <w:sz w:val="28"/>
          <w:szCs w:val="28"/>
          <w:u w:val="none"/>
        </w:rPr>
        <w:t>plynech</w:t>
      </w:r>
    </w:p>
    <w:p w14:paraId="7B594696" w14:textId="77777777" w:rsidR="002A6DCF" w:rsidRPr="002A6DCF" w:rsidRDefault="002A6DCF" w:rsidP="002A6DCF">
      <w:pPr>
        <w:rPr>
          <w:lang w:val="cs-CZ"/>
        </w:rPr>
      </w:pPr>
    </w:p>
    <w:p w14:paraId="2AF5D49E" w14:textId="77777777" w:rsidR="002A6DCF" w:rsidRPr="002A6DCF" w:rsidRDefault="002A6DCF" w:rsidP="002A6DCF">
      <w:pPr>
        <w:jc w:val="both"/>
        <w:rPr>
          <w:lang w:val="cs-CZ"/>
        </w:rPr>
      </w:pPr>
    </w:p>
    <w:p w14:paraId="33EA6912" w14:textId="77777777" w:rsidR="002A6DCF" w:rsidRPr="002A6DCF" w:rsidRDefault="002A6DCF" w:rsidP="002A6DCF">
      <w:pPr>
        <w:jc w:val="both"/>
        <w:rPr>
          <w:szCs w:val="20"/>
          <w:u w:val="single"/>
          <w:lang w:val="cs-CZ"/>
        </w:rPr>
      </w:pPr>
      <w:r w:rsidRPr="002A6DCF">
        <w:rPr>
          <w:u w:val="single"/>
          <w:lang w:val="cs-CZ"/>
        </w:rPr>
        <w:t xml:space="preserve">Při tepelných dějích se mění hodnoty stavových veličin. </w:t>
      </w:r>
    </w:p>
    <w:p w14:paraId="42CDAFCE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 </w:t>
      </w:r>
    </w:p>
    <w:p w14:paraId="67DE4AA0" w14:textId="77777777" w:rsidR="002A6DCF" w:rsidRPr="002A6DCF" w:rsidRDefault="002A6DCF" w:rsidP="002A6DCF">
      <w:pPr>
        <w:jc w:val="both"/>
        <w:rPr>
          <w:b/>
          <w:szCs w:val="20"/>
          <w:u w:val="single"/>
          <w:lang w:val="cs-CZ"/>
        </w:rPr>
      </w:pPr>
      <w:r w:rsidRPr="002A6DCF">
        <w:rPr>
          <w:noProof/>
        </w:rPr>
        <w:drawing>
          <wp:anchor distT="0" distB="0" distL="114300" distR="114300" simplePos="0" relativeHeight="251659264" behindDoc="0" locked="0" layoutInCell="0" allowOverlap="0" wp14:anchorId="66DA907A" wp14:editId="69E58198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80135" cy="1174750"/>
            <wp:effectExtent l="0" t="0" r="5715" b="6350"/>
            <wp:wrapSquare wrapText="bothSides"/>
            <wp:docPr id="11" name="Obrázek 11" descr="\\Nt_server_1\prenos\SOČ\Jandora\MF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\\Nt_server_1\prenos\SOČ\Jandora\MF2.BM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CF">
        <w:rPr>
          <w:b/>
          <w:u w:val="single"/>
          <w:lang w:val="cs-CZ"/>
        </w:rPr>
        <w:t>Izotermický děj</w:t>
      </w:r>
    </w:p>
    <w:p w14:paraId="55E1BF54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Teplota se nemění → T = </w:t>
      </w:r>
      <w:proofErr w:type="spellStart"/>
      <w:r w:rsidRPr="002A6DCF">
        <w:rPr>
          <w:lang w:val="cs-CZ"/>
        </w:rPr>
        <w:t>konst</w:t>
      </w:r>
      <w:proofErr w:type="spellEnd"/>
      <w:r w:rsidRPr="002A6DCF">
        <w:rPr>
          <w:lang w:val="cs-CZ"/>
        </w:rPr>
        <w:t xml:space="preserve">. </w:t>
      </w:r>
    </w:p>
    <w:p w14:paraId="5075E63C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Ze stavové rovnice vyplyne → </w:t>
      </w:r>
    </w:p>
    <w:p w14:paraId="560E7B24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lang w:val="cs-CZ"/>
        </w:rPr>
        <w:t xml:space="preserve">p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V = </w:t>
      </w:r>
      <w:proofErr w:type="spellStart"/>
      <w:r w:rsidRPr="002A6DCF">
        <w:rPr>
          <w:lang w:val="cs-CZ"/>
        </w:rPr>
        <w:t>konst</w:t>
      </w:r>
      <w:proofErr w:type="spellEnd"/>
      <w:r w:rsidRPr="002A6DCF">
        <w:rPr>
          <w:lang w:val="cs-CZ"/>
        </w:rPr>
        <w:t>.</w:t>
      </w:r>
    </w:p>
    <w:p w14:paraId="0496EAC6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p</w:t>
      </w:r>
      <w:r w:rsidRPr="002A6DCF">
        <w:rPr>
          <w:vertAlign w:val="subscript"/>
          <w:lang w:val="cs-CZ"/>
        </w:rPr>
        <w:t>1</w:t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V</w:t>
      </w:r>
      <w:r w:rsidRPr="002A6DCF">
        <w:rPr>
          <w:vertAlign w:val="subscript"/>
          <w:lang w:val="cs-CZ"/>
        </w:rPr>
        <w:t>1</w:t>
      </w:r>
      <w:r w:rsidRPr="002A6DCF">
        <w:rPr>
          <w:lang w:val="cs-CZ"/>
        </w:rPr>
        <w:t xml:space="preserve"> = p</w:t>
      </w:r>
      <w:r w:rsidRPr="002A6DCF">
        <w:rPr>
          <w:vertAlign w:val="subscript"/>
          <w:lang w:val="cs-CZ"/>
        </w:rPr>
        <w:t>2</w:t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V</w:t>
      </w:r>
      <w:proofErr w:type="gramStart"/>
      <w:r w:rsidRPr="002A6DCF">
        <w:rPr>
          <w:vertAlign w:val="subscript"/>
          <w:lang w:val="cs-CZ"/>
        </w:rPr>
        <w:t>2</w:t>
      </w:r>
      <w:r w:rsidRPr="002A6DCF">
        <w:rPr>
          <w:lang w:val="cs-CZ"/>
        </w:rPr>
        <w:t xml:space="preserve">  →</w:t>
      </w:r>
      <w:proofErr w:type="gramEnd"/>
      <w:r w:rsidRPr="002A6DCF">
        <w:rPr>
          <w:lang w:val="cs-CZ"/>
        </w:rPr>
        <w:t xml:space="preserve">  {zákon </w:t>
      </w:r>
      <w:proofErr w:type="spellStart"/>
      <w:r w:rsidRPr="002A6DCF">
        <w:rPr>
          <w:lang w:val="cs-CZ"/>
        </w:rPr>
        <w:t>Boylův-Mariottův</w:t>
      </w:r>
      <w:proofErr w:type="spellEnd"/>
      <w:r w:rsidRPr="002A6DCF">
        <w:rPr>
          <w:lang w:val="cs-CZ"/>
        </w:rPr>
        <w:t>}</w:t>
      </w:r>
    </w:p>
    <w:p w14:paraId="2CB9677A" w14:textId="77777777" w:rsidR="002A6DCF" w:rsidRDefault="002A6DCF" w:rsidP="002A6DCF">
      <w:pPr>
        <w:jc w:val="both"/>
        <w:rPr>
          <w:i/>
          <w:lang w:val="cs-CZ"/>
        </w:rPr>
      </w:pPr>
    </w:p>
    <w:p w14:paraId="5FC379FA" w14:textId="77777777" w:rsidR="002A6DCF" w:rsidRPr="002A6DCF" w:rsidRDefault="002A6DCF" w:rsidP="002A6DCF">
      <w:pPr>
        <w:jc w:val="both"/>
        <w:rPr>
          <w:i/>
          <w:szCs w:val="20"/>
          <w:lang w:val="cs-CZ"/>
        </w:rPr>
      </w:pPr>
      <w:r w:rsidRPr="002A6DCF">
        <w:rPr>
          <w:i/>
          <w:lang w:val="cs-CZ"/>
        </w:rPr>
        <w:t>Z toho, že se nemění teplota, vyplývá, že se nemění ani vnitřní energie plynu.</w:t>
      </w:r>
    </w:p>
    <w:p w14:paraId="692B50AC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sym w:font="Symbol" w:char="F044"/>
      </w:r>
      <w:r w:rsidRPr="002A6DCF">
        <w:rPr>
          <w:lang w:val="cs-CZ"/>
        </w:rPr>
        <w:t xml:space="preserve">U = 0  </w:t>
      </w:r>
      <w:r w:rsidRPr="002A6DCF">
        <w:rPr>
          <w:lang w:val="cs-CZ"/>
        </w:rPr>
        <w:sym w:font="Symbol" w:char="F0DE"/>
      </w:r>
      <w:r w:rsidRPr="002A6DCF">
        <w:rPr>
          <w:lang w:val="cs-CZ"/>
        </w:rPr>
        <w:t xml:space="preserve">  Q = – W = W</w:t>
      </w:r>
      <w:r w:rsidRPr="002A6DCF">
        <w:rPr>
          <w:lang w:val="cs-CZ"/>
        </w:rPr>
        <w:sym w:font="Symbol" w:char="F0A2"/>
      </w:r>
    </w:p>
    <w:p w14:paraId="3DC2C30E" w14:textId="77777777" w:rsidR="002A6DCF" w:rsidRDefault="002A6DCF" w:rsidP="002A6DCF">
      <w:pPr>
        <w:jc w:val="both"/>
        <w:rPr>
          <w:b/>
          <w:lang w:val="cs-CZ"/>
        </w:rPr>
      </w:pPr>
    </w:p>
    <w:p w14:paraId="73C1D17D" w14:textId="77777777" w:rsidR="002A6DCF" w:rsidRPr="002A6DCF" w:rsidRDefault="002A6DCF" w:rsidP="002A6DCF">
      <w:pPr>
        <w:jc w:val="both"/>
        <w:rPr>
          <w:b/>
          <w:szCs w:val="20"/>
          <w:lang w:val="cs-CZ"/>
        </w:rPr>
      </w:pPr>
      <w:r w:rsidRPr="002A6DCF">
        <w:rPr>
          <w:b/>
          <w:lang w:val="cs-CZ"/>
        </w:rPr>
        <w:t>Teplo přijaté ideálním plynem při izotermickém ději se rovná práci, kterou plyn při tomto ději vykoná.</w:t>
      </w:r>
    </w:p>
    <w:p w14:paraId="6D8EADB5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 </w:t>
      </w:r>
    </w:p>
    <w:p w14:paraId="15AAD7FE" w14:textId="77777777" w:rsidR="002A6DCF" w:rsidRDefault="002A6DCF" w:rsidP="002A6DCF">
      <w:pPr>
        <w:jc w:val="both"/>
        <w:rPr>
          <w:szCs w:val="20"/>
          <w:lang w:val="cs-CZ"/>
        </w:rPr>
      </w:pPr>
    </w:p>
    <w:p w14:paraId="562CD9A7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11A6C638" w14:textId="77777777" w:rsidR="002A6DCF" w:rsidRPr="002A6DCF" w:rsidRDefault="002A6DCF" w:rsidP="002A6DCF">
      <w:pPr>
        <w:jc w:val="both"/>
        <w:rPr>
          <w:b/>
          <w:szCs w:val="20"/>
          <w:u w:val="single"/>
          <w:lang w:val="cs-CZ"/>
        </w:rPr>
      </w:pPr>
      <w:r w:rsidRPr="002A6DCF">
        <w:rPr>
          <w:noProof/>
        </w:rPr>
        <w:drawing>
          <wp:anchor distT="0" distB="0" distL="114300" distR="114300" simplePos="0" relativeHeight="251660288" behindDoc="0" locked="0" layoutInCell="0" allowOverlap="0" wp14:anchorId="24A985ED" wp14:editId="1683A98B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986155" cy="967740"/>
            <wp:effectExtent l="0" t="0" r="4445" b="3810"/>
            <wp:wrapSquare wrapText="bothSides"/>
            <wp:docPr id="10" name="Obrázek 10" descr="\\Nt_server_1\prenos\SOČ\Jandora\MF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\\Nt_server_1\prenos\SOČ\Jandora\MF3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6DCF">
        <w:rPr>
          <w:b/>
          <w:u w:val="single"/>
          <w:lang w:val="cs-CZ"/>
        </w:rPr>
        <w:t>Izochorický</w:t>
      </w:r>
      <w:proofErr w:type="spellEnd"/>
      <w:r w:rsidRPr="002A6DCF">
        <w:rPr>
          <w:b/>
          <w:u w:val="single"/>
          <w:lang w:val="cs-CZ"/>
        </w:rPr>
        <w:t xml:space="preserve"> děj</w:t>
      </w:r>
    </w:p>
    <w:p w14:paraId="460F110F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Objem se nemění → V = </w:t>
      </w:r>
      <w:proofErr w:type="spellStart"/>
      <w:r w:rsidRPr="002A6DCF">
        <w:rPr>
          <w:lang w:val="cs-CZ"/>
        </w:rPr>
        <w:t>konst</w:t>
      </w:r>
      <w:proofErr w:type="spellEnd"/>
      <w:r w:rsidRPr="002A6DCF">
        <w:rPr>
          <w:lang w:val="cs-CZ"/>
        </w:rPr>
        <w:t>.</w:t>
      </w:r>
    </w:p>
    <w:p w14:paraId="4B0E4790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Ze stavové rovnice vyplyne →</w:t>
      </w:r>
    </w:p>
    <w:p w14:paraId="7DDC345A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noProof/>
          <w:vertAlign w:val="subscript"/>
          <w:lang w:val="cs-CZ"/>
        </w:rPr>
        <w:drawing>
          <wp:inline distT="0" distB="0" distL="0" distR="0" wp14:anchorId="540C082B" wp14:editId="6CA24F2E">
            <wp:extent cx="685800" cy="390525"/>
            <wp:effectExtent l="19050" t="19050" r="1905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D1671F" w14:textId="77777777" w:rsidR="002A6DCF" w:rsidRDefault="002A6DCF" w:rsidP="002A6DCF">
      <w:pPr>
        <w:jc w:val="both"/>
        <w:rPr>
          <w:lang w:val="cs-CZ"/>
        </w:rPr>
      </w:pPr>
      <w:r w:rsidRPr="002A6DCF">
        <w:rPr>
          <w:noProof/>
          <w:vertAlign w:val="subscript"/>
          <w:lang w:val="cs-CZ"/>
        </w:rPr>
        <w:drawing>
          <wp:inline distT="0" distB="0" distL="0" distR="0" wp14:anchorId="29C497B1" wp14:editId="75FC1E11">
            <wp:extent cx="542925" cy="4286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E"/>
      </w:r>
      <w:r w:rsidRPr="002A6DCF">
        <w:rPr>
          <w:lang w:val="cs-CZ"/>
        </w:rPr>
        <w:t xml:space="preserve"> {zákon Charlesův}</w:t>
      </w:r>
    </w:p>
    <w:p w14:paraId="136DBEA5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74378420" w14:textId="77777777" w:rsidR="002A6DCF" w:rsidRPr="002A6DCF" w:rsidRDefault="002A6DCF" w:rsidP="002A6DCF">
      <w:pPr>
        <w:jc w:val="both"/>
        <w:rPr>
          <w:i/>
          <w:szCs w:val="20"/>
          <w:lang w:val="cs-CZ"/>
        </w:rPr>
      </w:pPr>
      <w:r w:rsidRPr="002A6DCF">
        <w:rPr>
          <w:i/>
          <w:lang w:val="cs-CZ"/>
        </w:rPr>
        <w:t>Nemění se objem plynu, proto je práce, kterou vykoná plyn, nulová.</w:t>
      </w:r>
    </w:p>
    <w:p w14:paraId="10D4A4B5" w14:textId="77777777" w:rsidR="002A6DCF" w:rsidRPr="002A6DCF" w:rsidRDefault="002A6DCF" w:rsidP="002A6DCF">
      <w:pPr>
        <w:rPr>
          <w:szCs w:val="20"/>
          <w:vertAlign w:val="subscript"/>
          <w:lang w:val="cs-CZ"/>
        </w:rPr>
      </w:pPr>
      <w:r w:rsidRPr="002A6DCF">
        <w:rPr>
          <w:lang w:val="cs-CZ"/>
        </w:rPr>
        <w:sym w:font="Symbol" w:char="F044"/>
      </w:r>
      <w:r w:rsidRPr="002A6DCF">
        <w:rPr>
          <w:lang w:val="cs-CZ"/>
        </w:rPr>
        <w:t>U = Q</w:t>
      </w:r>
      <w:r w:rsidRPr="002A6DCF">
        <w:rPr>
          <w:vertAlign w:val="subscript"/>
          <w:lang w:val="cs-CZ"/>
        </w:rPr>
        <w:t>V</w:t>
      </w:r>
    </w:p>
    <w:p w14:paraId="48BF6894" w14:textId="77777777" w:rsidR="002A6DCF" w:rsidRDefault="002A6DCF" w:rsidP="002A6DCF">
      <w:pPr>
        <w:jc w:val="both"/>
        <w:rPr>
          <w:lang w:val="cs-CZ"/>
        </w:rPr>
      </w:pPr>
    </w:p>
    <w:p w14:paraId="721BD1C6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Q</w:t>
      </w:r>
      <w:r w:rsidRPr="002A6DCF">
        <w:rPr>
          <w:vertAlign w:val="subscript"/>
          <w:lang w:val="cs-CZ"/>
        </w:rPr>
        <w:t>V</w:t>
      </w:r>
      <w:r w:rsidRPr="002A6DCF">
        <w:rPr>
          <w:lang w:val="cs-CZ"/>
        </w:rPr>
        <w:t xml:space="preserve"> = m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</w:t>
      </w:r>
      <w:proofErr w:type="spellStart"/>
      <w:r w:rsidRPr="002A6DCF">
        <w:rPr>
          <w:lang w:val="cs-CZ"/>
        </w:rPr>
        <w:t>c</w:t>
      </w:r>
      <w:r>
        <w:rPr>
          <w:vertAlign w:val="subscript"/>
          <w:lang w:val="cs-CZ"/>
        </w:rPr>
        <w:t>v</w:t>
      </w:r>
      <w:proofErr w:type="spellEnd"/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44"/>
      </w:r>
      <w:r w:rsidRPr="002A6DCF">
        <w:rPr>
          <w:lang w:val="cs-CZ"/>
        </w:rPr>
        <w:t xml:space="preserve">T, </w:t>
      </w:r>
    </w:p>
    <w:p w14:paraId="304B9B3B" w14:textId="77777777" w:rsidR="002A6DCF" w:rsidRDefault="002A6DCF" w:rsidP="002A6DCF">
      <w:pPr>
        <w:jc w:val="both"/>
        <w:rPr>
          <w:b/>
          <w:lang w:val="cs-CZ"/>
        </w:rPr>
      </w:pPr>
      <w:proofErr w:type="spellStart"/>
      <w:r w:rsidRPr="002A6DCF">
        <w:rPr>
          <w:i/>
          <w:lang w:val="cs-CZ"/>
        </w:rPr>
        <w:t>c</w:t>
      </w:r>
      <w:r>
        <w:rPr>
          <w:vertAlign w:val="subscript"/>
          <w:lang w:val="cs-CZ"/>
        </w:rPr>
        <w:t>v</w:t>
      </w:r>
      <w:proofErr w:type="spellEnd"/>
      <w:r w:rsidRPr="002A6DCF">
        <w:rPr>
          <w:lang w:val="cs-CZ"/>
        </w:rPr>
        <w:t xml:space="preserve"> je </w:t>
      </w:r>
      <w:r w:rsidRPr="002A6DCF">
        <w:rPr>
          <w:b/>
          <w:lang w:val="cs-CZ"/>
        </w:rPr>
        <w:t>měrná tepelná kapacita plynu při stálém objemu</w:t>
      </w:r>
    </w:p>
    <w:p w14:paraId="5F8EFB7A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0B525762" w14:textId="77777777" w:rsidR="002A6DCF" w:rsidRPr="002A6DCF" w:rsidRDefault="002A6DCF" w:rsidP="002A6DCF">
      <w:pPr>
        <w:jc w:val="both"/>
        <w:rPr>
          <w:b/>
          <w:szCs w:val="20"/>
          <w:lang w:val="cs-CZ"/>
        </w:rPr>
      </w:pPr>
      <w:r w:rsidRPr="002A6DCF">
        <w:rPr>
          <w:b/>
          <w:lang w:val="cs-CZ"/>
        </w:rPr>
        <w:t xml:space="preserve">Teplo přijaté ideálním plynem při </w:t>
      </w:r>
      <w:proofErr w:type="spellStart"/>
      <w:r w:rsidRPr="002A6DCF">
        <w:rPr>
          <w:b/>
          <w:lang w:val="cs-CZ"/>
        </w:rPr>
        <w:t>izochorickém</w:t>
      </w:r>
      <w:proofErr w:type="spellEnd"/>
      <w:r w:rsidRPr="002A6DCF">
        <w:rPr>
          <w:b/>
          <w:lang w:val="cs-CZ"/>
        </w:rPr>
        <w:t xml:space="preserve"> ději se rovnu přírůstku jeho vnitřní energie.</w:t>
      </w:r>
    </w:p>
    <w:p w14:paraId="70EEF8D4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 </w:t>
      </w:r>
    </w:p>
    <w:p w14:paraId="1ACCDFFE" w14:textId="77777777" w:rsidR="002A6DCF" w:rsidRDefault="002A6DCF" w:rsidP="002A6DCF">
      <w:pPr>
        <w:jc w:val="both"/>
        <w:rPr>
          <w:szCs w:val="20"/>
          <w:lang w:val="cs-CZ"/>
        </w:rPr>
      </w:pPr>
    </w:p>
    <w:p w14:paraId="40B9DA3B" w14:textId="77777777" w:rsidR="002A6DCF" w:rsidRDefault="002A6DCF" w:rsidP="002A6DCF">
      <w:pPr>
        <w:jc w:val="both"/>
        <w:rPr>
          <w:szCs w:val="20"/>
          <w:lang w:val="cs-CZ"/>
        </w:rPr>
      </w:pPr>
    </w:p>
    <w:p w14:paraId="34F5E3CC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5830E532" w14:textId="77777777" w:rsidR="002A6DCF" w:rsidRPr="002A6DCF" w:rsidRDefault="002A6DCF" w:rsidP="002A6DCF">
      <w:pPr>
        <w:jc w:val="both"/>
        <w:rPr>
          <w:b/>
          <w:szCs w:val="20"/>
          <w:u w:val="single"/>
          <w:lang w:val="cs-CZ"/>
        </w:rPr>
      </w:pPr>
      <w:r w:rsidRPr="002A6DCF">
        <w:rPr>
          <w:noProof/>
        </w:rPr>
        <w:drawing>
          <wp:anchor distT="0" distB="0" distL="114300" distR="114300" simplePos="0" relativeHeight="251661312" behindDoc="0" locked="0" layoutInCell="0" allowOverlap="0" wp14:anchorId="641A57ED" wp14:editId="61AC12B6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61720" cy="988695"/>
            <wp:effectExtent l="0" t="0" r="5080" b="1905"/>
            <wp:wrapSquare wrapText="bothSides"/>
            <wp:docPr id="9" name="Obrázek 9" descr="\\Nt_server_1\prenos\SOČ\Jandora\MF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\\Nt_server_1\prenos\SOČ\Jandora\MF4.BM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CF">
        <w:rPr>
          <w:b/>
          <w:u w:val="single"/>
          <w:lang w:val="cs-CZ"/>
        </w:rPr>
        <w:t>Izobarický děj</w:t>
      </w:r>
    </w:p>
    <w:p w14:paraId="66D59211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Tlak plynu se nemění → p = </w:t>
      </w:r>
      <w:proofErr w:type="spellStart"/>
      <w:r w:rsidRPr="002A6DCF">
        <w:rPr>
          <w:lang w:val="cs-CZ"/>
        </w:rPr>
        <w:t>konst</w:t>
      </w:r>
      <w:proofErr w:type="spellEnd"/>
      <w:r w:rsidRPr="002A6DCF">
        <w:rPr>
          <w:lang w:val="cs-CZ"/>
        </w:rPr>
        <w:t>.</w:t>
      </w:r>
    </w:p>
    <w:p w14:paraId="2A518D63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Ze stavové rovnice vyplyne →</w:t>
      </w:r>
    </w:p>
    <w:p w14:paraId="15A9E86F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noProof/>
          <w:vertAlign w:val="subscript"/>
          <w:lang w:val="cs-CZ"/>
        </w:rPr>
        <w:drawing>
          <wp:inline distT="0" distB="0" distL="0" distR="0" wp14:anchorId="2156B460" wp14:editId="16527BB4">
            <wp:extent cx="695325" cy="390525"/>
            <wp:effectExtent l="19050" t="19050" r="28575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469928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noProof/>
          <w:vertAlign w:val="subscript"/>
          <w:lang w:val="cs-CZ"/>
        </w:rPr>
        <w:drawing>
          <wp:inline distT="0" distB="0" distL="0" distR="0" wp14:anchorId="75605E09" wp14:editId="0D048193">
            <wp:extent cx="723900" cy="4857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DCF">
        <w:rPr>
          <w:lang w:val="cs-CZ"/>
        </w:rPr>
        <w:t xml:space="preserve">  </w:t>
      </w:r>
      <w:r w:rsidRPr="002A6DCF">
        <w:rPr>
          <w:lang w:val="cs-CZ"/>
        </w:rPr>
        <w:sym w:font="Symbol" w:char="F0DE"/>
      </w:r>
      <w:r w:rsidRPr="002A6DCF">
        <w:rPr>
          <w:lang w:val="cs-CZ"/>
        </w:rPr>
        <w:t xml:space="preserve">  {zákon Gay-</w:t>
      </w:r>
      <w:proofErr w:type="spellStart"/>
      <w:r w:rsidRPr="002A6DCF">
        <w:rPr>
          <w:lang w:val="cs-CZ"/>
        </w:rPr>
        <w:t>Lussacův</w:t>
      </w:r>
      <w:proofErr w:type="spellEnd"/>
      <w:r w:rsidRPr="002A6DCF">
        <w:rPr>
          <w:lang w:val="cs-CZ"/>
        </w:rPr>
        <w:t>}</w:t>
      </w:r>
    </w:p>
    <w:p w14:paraId="596E5B29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lastRenderedPageBreak/>
        <w:t xml:space="preserve">Zvýšíme-li teplotu ideálního plynu stálé hmotnosti izobaricky o stejnou hodnotu </w:t>
      </w:r>
      <w:r w:rsidRPr="002A6DCF">
        <w:rPr>
          <w:lang w:val="cs-CZ"/>
        </w:rPr>
        <w:sym w:font="Symbol" w:char="F044"/>
      </w:r>
      <w:r w:rsidRPr="002A6DCF">
        <w:rPr>
          <w:i/>
          <w:lang w:val="cs-CZ"/>
        </w:rPr>
        <w:t>T</w:t>
      </w:r>
      <w:r w:rsidRPr="002A6DCF">
        <w:rPr>
          <w:lang w:val="cs-CZ"/>
        </w:rPr>
        <w:t xml:space="preserve"> jako u děje </w:t>
      </w:r>
      <w:proofErr w:type="spellStart"/>
      <w:r w:rsidRPr="002A6DCF">
        <w:rPr>
          <w:lang w:val="cs-CZ"/>
        </w:rPr>
        <w:t>izochorického</w:t>
      </w:r>
      <w:proofErr w:type="spellEnd"/>
      <w:r w:rsidRPr="002A6DCF">
        <w:rPr>
          <w:lang w:val="cs-CZ"/>
        </w:rPr>
        <w:t>, přijme plyn teplo</w:t>
      </w:r>
    </w:p>
    <w:p w14:paraId="79AC269B" w14:textId="77777777" w:rsidR="002A6DCF" w:rsidRDefault="002A6DCF" w:rsidP="002A6DCF">
      <w:pPr>
        <w:jc w:val="both"/>
        <w:rPr>
          <w:lang w:val="cs-CZ"/>
        </w:rPr>
      </w:pPr>
      <w:proofErr w:type="spellStart"/>
      <w:r w:rsidRPr="002A6DCF">
        <w:rPr>
          <w:lang w:val="cs-CZ"/>
        </w:rPr>
        <w:t>Q</w:t>
      </w:r>
      <w:r w:rsidRPr="002A6DCF">
        <w:rPr>
          <w:vertAlign w:val="subscript"/>
          <w:lang w:val="cs-CZ"/>
        </w:rPr>
        <w:t>p</w:t>
      </w:r>
      <w:proofErr w:type="spellEnd"/>
      <w:r w:rsidRPr="002A6DCF">
        <w:rPr>
          <w:lang w:val="cs-CZ"/>
        </w:rPr>
        <w:t xml:space="preserve"> = m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</w:t>
      </w:r>
      <w:proofErr w:type="spellStart"/>
      <w:r w:rsidRPr="002A6DCF">
        <w:rPr>
          <w:lang w:val="cs-CZ"/>
        </w:rPr>
        <w:t>c</w:t>
      </w:r>
      <w:r w:rsidRPr="002A6DCF">
        <w:rPr>
          <w:vertAlign w:val="subscript"/>
          <w:lang w:val="cs-CZ"/>
        </w:rPr>
        <w:t>p</w:t>
      </w:r>
      <w:proofErr w:type="spellEnd"/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D7"/>
      </w:r>
      <w:r w:rsidRPr="002A6DCF">
        <w:rPr>
          <w:lang w:val="cs-CZ"/>
        </w:rPr>
        <w:t xml:space="preserve"> </w:t>
      </w:r>
      <w:r w:rsidRPr="002A6DCF">
        <w:rPr>
          <w:lang w:val="cs-CZ"/>
        </w:rPr>
        <w:sym w:font="Symbol" w:char="F044"/>
      </w:r>
      <w:r w:rsidRPr="002A6DCF">
        <w:rPr>
          <w:lang w:val="cs-CZ"/>
        </w:rPr>
        <w:t xml:space="preserve">T, </w:t>
      </w:r>
    </w:p>
    <w:p w14:paraId="5C520C08" w14:textId="77777777" w:rsidR="002A6DCF" w:rsidRDefault="002A6DCF" w:rsidP="002A6DCF">
      <w:pPr>
        <w:jc w:val="both"/>
        <w:rPr>
          <w:b/>
          <w:lang w:val="cs-CZ"/>
        </w:rPr>
      </w:pPr>
      <w:proofErr w:type="spellStart"/>
      <w:r w:rsidRPr="002A6DCF">
        <w:rPr>
          <w:i/>
          <w:lang w:val="cs-CZ"/>
        </w:rPr>
        <w:t>c</w:t>
      </w:r>
      <w:r w:rsidRPr="002A6DCF">
        <w:rPr>
          <w:vertAlign w:val="subscript"/>
          <w:lang w:val="cs-CZ"/>
        </w:rPr>
        <w:t>p</w:t>
      </w:r>
      <w:proofErr w:type="spellEnd"/>
      <w:r w:rsidRPr="002A6DCF">
        <w:rPr>
          <w:lang w:val="cs-CZ"/>
        </w:rPr>
        <w:t xml:space="preserve"> je </w:t>
      </w:r>
      <w:r w:rsidRPr="002A6DCF">
        <w:rPr>
          <w:b/>
          <w:lang w:val="cs-CZ"/>
        </w:rPr>
        <w:t>měrná tepelná kapacita plynu při stálém tlaku</w:t>
      </w:r>
    </w:p>
    <w:p w14:paraId="52A47555" w14:textId="77777777" w:rsidR="002A6DCF" w:rsidRDefault="002A6DCF" w:rsidP="002A6DCF">
      <w:pPr>
        <w:jc w:val="both"/>
        <w:rPr>
          <w:szCs w:val="20"/>
          <w:lang w:val="cs-CZ"/>
        </w:rPr>
      </w:pPr>
    </w:p>
    <w:p w14:paraId="0A362356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59F64B78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sym w:font="Symbol" w:char="F044"/>
      </w:r>
      <w:r w:rsidRPr="002A6DCF">
        <w:rPr>
          <w:lang w:val="cs-CZ"/>
        </w:rPr>
        <w:t xml:space="preserve">U = </w:t>
      </w:r>
      <w:proofErr w:type="spellStart"/>
      <w:r w:rsidRPr="002A6DCF">
        <w:rPr>
          <w:lang w:val="cs-CZ"/>
        </w:rPr>
        <w:t>Q</w:t>
      </w:r>
      <w:r w:rsidRPr="002A6DCF">
        <w:rPr>
          <w:vertAlign w:val="subscript"/>
          <w:lang w:val="cs-CZ"/>
        </w:rPr>
        <w:t>p</w:t>
      </w:r>
      <w:proofErr w:type="spellEnd"/>
      <w:r w:rsidRPr="002A6DCF">
        <w:rPr>
          <w:lang w:val="cs-CZ"/>
        </w:rPr>
        <w:t xml:space="preserve"> – W → plyn při izobarickém ději přijme teplo, jehož část se spotřebuje na zvýšení vnitřní energie tělesa a část </w:t>
      </w:r>
      <w:r>
        <w:rPr>
          <w:lang w:val="cs-CZ"/>
        </w:rPr>
        <w:t xml:space="preserve">na </w:t>
      </w:r>
      <w:r w:rsidRPr="002A6DCF">
        <w:rPr>
          <w:lang w:val="cs-CZ"/>
        </w:rPr>
        <w:t>vykon</w:t>
      </w:r>
      <w:r>
        <w:rPr>
          <w:lang w:val="cs-CZ"/>
        </w:rPr>
        <w:t>anou</w:t>
      </w:r>
      <w:r w:rsidRPr="002A6DCF">
        <w:rPr>
          <w:lang w:val="cs-CZ"/>
        </w:rPr>
        <w:t xml:space="preserve"> práci </w:t>
      </w:r>
      <w:r>
        <w:rPr>
          <w:lang w:val="cs-CZ"/>
        </w:rPr>
        <w:t>(</w:t>
      </w:r>
      <w:r w:rsidRPr="002A6DCF">
        <w:rPr>
          <w:lang w:val="cs-CZ"/>
        </w:rPr>
        <w:t>aby plyn vyrovnal tlak, musí zvětšit svůj objem a tím koná práci</w:t>
      </w:r>
      <w:r>
        <w:rPr>
          <w:lang w:val="cs-CZ"/>
        </w:rPr>
        <w:t>)</w:t>
      </w:r>
      <w:r w:rsidRPr="002A6DCF">
        <w:rPr>
          <w:lang w:val="cs-CZ"/>
        </w:rPr>
        <w:t>.</w:t>
      </w:r>
    </w:p>
    <w:p w14:paraId="58BA2165" w14:textId="77777777" w:rsidR="002A6DCF" w:rsidRDefault="002A6DCF" w:rsidP="002A6DCF">
      <w:pPr>
        <w:jc w:val="both"/>
        <w:rPr>
          <w:szCs w:val="20"/>
          <w:lang w:val="cs-CZ"/>
        </w:rPr>
      </w:pPr>
    </w:p>
    <w:p w14:paraId="77A0019F" w14:textId="77777777" w:rsidR="002A6DCF" w:rsidRPr="002A6DCF" w:rsidRDefault="002A6DCF" w:rsidP="002A6DCF">
      <w:pPr>
        <w:jc w:val="both"/>
        <w:rPr>
          <w:szCs w:val="20"/>
          <w:lang w:val="cs-CZ"/>
        </w:rPr>
      </w:pPr>
    </w:p>
    <w:p w14:paraId="506B1A1C" w14:textId="77777777" w:rsidR="002A6DCF" w:rsidRPr="002A6DCF" w:rsidRDefault="002A6DCF" w:rsidP="002A6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0"/>
          <w:lang w:val="cs-CZ"/>
        </w:rPr>
      </w:pPr>
      <w:r w:rsidRPr="002A6DCF">
        <w:rPr>
          <w:lang w:val="cs-CZ"/>
        </w:rPr>
        <w:t xml:space="preserve">Protože se teplota při izobarickém ději zvýšila o stejnou teplotu jako u </w:t>
      </w:r>
      <w:proofErr w:type="spellStart"/>
      <w:r w:rsidRPr="002A6DCF">
        <w:rPr>
          <w:lang w:val="cs-CZ"/>
        </w:rPr>
        <w:t>izochorického</w:t>
      </w:r>
      <w:proofErr w:type="spellEnd"/>
      <w:r w:rsidRPr="002A6DCF">
        <w:rPr>
          <w:lang w:val="cs-CZ"/>
        </w:rPr>
        <w:t xml:space="preserve"> děje, je změna vnitřní energie u obou dějů stejná. Teplo přijaté při izobarickém ději je ale větší, protože se musí ještě vykonat práce při rozpínání plynu. Proto je i </w:t>
      </w:r>
      <w:proofErr w:type="spellStart"/>
      <w:proofErr w:type="gramStart"/>
      <w:r w:rsidRPr="002A6DCF">
        <w:rPr>
          <w:lang w:val="cs-CZ"/>
        </w:rPr>
        <w:t>c</w:t>
      </w:r>
      <w:r w:rsidRPr="002A6DCF">
        <w:rPr>
          <w:vertAlign w:val="subscript"/>
          <w:lang w:val="cs-CZ"/>
        </w:rPr>
        <w:t>p</w:t>
      </w:r>
      <w:proofErr w:type="spellEnd"/>
      <w:r w:rsidRPr="002A6DCF">
        <w:rPr>
          <w:lang w:val="cs-CZ"/>
        </w:rPr>
        <w:t xml:space="preserve"> &gt;</w:t>
      </w:r>
      <w:proofErr w:type="gramEnd"/>
      <w:r w:rsidRPr="002A6DCF">
        <w:rPr>
          <w:lang w:val="cs-CZ"/>
        </w:rPr>
        <w:t xml:space="preserve"> </w:t>
      </w:r>
      <w:proofErr w:type="spellStart"/>
      <w:r w:rsidRPr="002A6DCF">
        <w:rPr>
          <w:lang w:val="cs-CZ"/>
        </w:rPr>
        <w:t>c</w:t>
      </w:r>
      <w:r w:rsidRPr="002A6DCF">
        <w:rPr>
          <w:vertAlign w:val="subscript"/>
          <w:lang w:val="cs-CZ"/>
        </w:rPr>
        <w:t>V</w:t>
      </w:r>
      <w:proofErr w:type="spellEnd"/>
      <w:r w:rsidRPr="002A6DCF">
        <w:rPr>
          <w:lang w:val="cs-CZ"/>
        </w:rPr>
        <w:t>.</w:t>
      </w:r>
    </w:p>
    <w:p w14:paraId="37D58CFF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 </w:t>
      </w:r>
    </w:p>
    <w:p w14:paraId="168EF0E6" w14:textId="77777777" w:rsidR="00095368" w:rsidRDefault="00095368" w:rsidP="002A6DCF">
      <w:pPr>
        <w:jc w:val="both"/>
        <w:rPr>
          <w:szCs w:val="20"/>
          <w:lang w:val="cs-CZ"/>
        </w:rPr>
      </w:pPr>
    </w:p>
    <w:p w14:paraId="04BC6E5E" w14:textId="77777777" w:rsidR="00095368" w:rsidRDefault="00095368" w:rsidP="002A6DCF">
      <w:pPr>
        <w:jc w:val="both"/>
        <w:rPr>
          <w:szCs w:val="20"/>
          <w:lang w:val="cs-CZ"/>
        </w:rPr>
      </w:pPr>
    </w:p>
    <w:p w14:paraId="4BE2B236" w14:textId="77777777" w:rsidR="00095368" w:rsidRPr="002A6DCF" w:rsidRDefault="00095368" w:rsidP="002A6DCF">
      <w:pPr>
        <w:jc w:val="both"/>
        <w:rPr>
          <w:szCs w:val="20"/>
          <w:lang w:val="cs-CZ"/>
        </w:rPr>
      </w:pPr>
    </w:p>
    <w:p w14:paraId="52DBA5F2" w14:textId="77777777" w:rsidR="002A6DCF" w:rsidRPr="002A6DCF" w:rsidRDefault="002A6DCF" w:rsidP="002A6DCF">
      <w:pPr>
        <w:jc w:val="both"/>
        <w:rPr>
          <w:b/>
          <w:szCs w:val="20"/>
          <w:u w:val="single"/>
          <w:lang w:val="cs-CZ"/>
        </w:rPr>
      </w:pPr>
      <w:r w:rsidRPr="002A6DCF">
        <w:rPr>
          <w:noProof/>
        </w:rPr>
        <w:drawing>
          <wp:anchor distT="0" distB="0" distL="114300" distR="114300" simplePos="0" relativeHeight="251662336" behindDoc="0" locked="0" layoutInCell="0" allowOverlap="0" wp14:anchorId="00EB9316" wp14:editId="68766CAF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15365" cy="1148715"/>
            <wp:effectExtent l="0" t="0" r="0" b="0"/>
            <wp:wrapSquare wrapText="bothSides"/>
            <wp:docPr id="8" name="Obrázek 8" descr="\\Nt_server_1\prenos\SOČ\Jandora\MF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\\Nt_server_1\prenos\SOČ\Jandora\MF5.BMP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DCF">
        <w:rPr>
          <w:b/>
          <w:u w:val="single"/>
          <w:lang w:val="cs-CZ"/>
        </w:rPr>
        <w:t>Adiabatický děj</w:t>
      </w:r>
    </w:p>
    <w:p w14:paraId="4F7A1712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Při adiabatickém ději je </w:t>
      </w:r>
      <w:r w:rsidRPr="00095368">
        <w:rPr>
          <w:lang w:val="cs-CZ"/>
        </w:rPr>
        <w:t>teplo</w:t>
      </w:r>
      <w:r w:rsidRPr="002A6DCF">
        <w:rPr>
          <w:lang w:val="cs-CZ"/>
        </w:rPr>
        <w:t xml:space="preserve">, které si předala soustava s okolím, </w:t>
      </w:r>
      <w:r w:rsidRPr="00095368">
        <w:rPr>
          <w:lang w:val="cs-CZ"/>
        </w:rPr>
        <w:t xml:space="preserve">nulové </w:t>
      </w:r>
    </w:p>
    <w:p w14:paraId="19D3E56F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lang w:val="cs-CZ"/>
        </w:rPr>
        <w:t>Q = 0</w:t>
      </w:r>
      <w:r w:rsidRPr="002A6DCF">
        <w:rPr>
          <w:lang w:val="cs-CZ"/>
        </w:rPr>
        <w:tab/>
      </w:r>
      <w:r w:rsidRPr="002A6DCF">
        <w:rPr>
          <w:lang w:val="cs-CZ"/>
        </w:rPr>
        <w:tab/>
      </w:r>
      <w:r w:rsidRPr="002A6DCF">
        <w:rPr>
          <w:lang w:val="cs-CZ"/>
        </w:rPr>
        <w:sym w:font="Symbol" w:char="F044"/>
      </w:r>
      <w:r w:rsidRPr="002A6DCF">
        <w:rPr>
          <w:lang w:val="cs-CZ"/>
        </w:rPr>
        <w:t>U = W</w:t>
      </w:r>
    </w:p>
    <w:p w14:paraId="71158945" w14:textId="77777777" w:rsidR="00095368" w:rsidRDefault="00095368" w:rsidP="002A6DCF">
      <w:pPr>
        <w:jc w:val="both"/>
        <w:rPr>
          <w:lang w:val="cs-CZ"/>
        </w:rPr>
      </w:pPr>
    </w:p>
    <w:p w14:paraId="624013E0" w14:textId="77777777" w:rsid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 xml:space="preserve">→ </w:t>
      </w:r>
      <w:r w:rsidRPr="002A6DCF">
        <w:rPr>
          <w:u w:val="single"/>
          <w:lang w:val="cs-CZ"/>
        </w:rPr>
        <w:t>adiabaticky izolovaná soustava</w:t>
      </w:r>
      <w:r w:rsidRPr="002A6DCF">
        <w:rPr>
          <w:lang w:val="cs-CZ"/>
        </w:rPr>
        <w:t xml:space="preserve"> je taková soustava, u které nemůže dojít k tepelné výměně mezi ní a okolním prostředím, ale může dojít k silovému působení a tím ke konání práce.</w:t>
      </w:r>
    </w:p>
    <w:p w14:paraId="4F47634C" w14:textId="77777777" w:rsidR="00095368" w:rsidRDefault="00095368" w:rsidP="002A6DCF">
      <w:pPr>
        <w:jc w:val="both"/>
        <w:rPr>
          <w:szCs w:val="20"/>
          <w:lang w:val="cs-CZ"/>
        </w:rPr>
      </w:pPr>
    </w:p>
    <w:p w14:paraId="00B93C2C" w14:textId="77777777" w:rsidR="00095368" w:rsidRPr="002A6DCF" w:rsidRDefault="00095368" w:rsidP="002A6DCF">
      <w:pPr>
        <w:jc w:val="both"/>
        <w:rPr>
          <w:szCs w:val="20"/>
          <w:lang w:val="cs-CZ"/>
        </w:rPr>
      </w:pPr>
    </w:p>
    <w:p w14:paraId="5D460421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Pro adiabatický děj platí </w:t>
      </w:r>
      <w:proofErr w:type="spellStart"/>
      <w:r w:rsidRPr="002A6DCF">
        <w:rPr>
          <w:lang w:val="cs-CZ"/>
        </w:rPr>
        <w:t>Poissonův</w:t>
      </w:r>
      <w:proofErr w:type="spellEnd"/>
      <w:r w:rsidRPr="002A6DCF">
        <w:rPr>
          <w:lang w:val="cs-CZ"/>
        </w:rPr>
        <w:t xml:space="preserve"> zákon:</w:t>
      </w:r>
    </w:p>
    <w:p w14:paraId="62193CE8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bdr w:val="single" w:sz="4" w:space="0" w:color="auto" w:frame="1"/>
          <w:lang w:val="cs-CZ"/>
        </w:rPr>
        <w:t xml:space="preserve">p </w:t>
      </w:r>
      <w:r w:rsidRPr="002A6DCF">
        <w:rPr>
          <w:bdr w:val="single" w:sz="4" w:space="0" w:color="auto" w:frame="1"/>
          <w:lang w:val="cs-CZ"/>
        </w:rPr>
        <w:sym w:font="Symbol" w:char="F0D7"/>
      </w:r>
      <w:r w:rsidRPr="002A6DCF">
        <w:rPr>
          <w:bdr w:val="single" w:sz="4" w:space="0" w:color="auto" w:frame="1"/>
          <w:lang w:val="cs-CZ"/>
        </w:rPr>
        <w:t xml:space="preserve"> V</w:t>
      </w:r>
      <w:r w:rsidRPr="002A6DCF">
        <w:rPr>
          <w:bdr w:val="single" w:sz="4" w:space="0" w:color="auto" w:frame="1"/>
          <w:vertAlign w:val="superscript"/>
          <w:lang w:val="cs-CZ"/>
        </w:rPr>
        <w:sym w:font="Symbol" w:char="F06B"/>
      </w:r>
      <w:r w:rsidRPr="002A6DCF">
        <w:rPr>
          <w:bdr w:val="single" w:sz="4" w:space="0" w:color="auto" w:frame="1"/>
          <w:lang w:val="cs-CZ"/>
        </w:rPr>
        <w:t xml:space="preserve"> = </w:t>
      </w:r>
      <w:proofErr w:type="spellStart"/>
      <w:r w:rsidRPr="002A6DCF">
        <w:rPr>
          <w:bdr w:val="single" w:sz="4" w:space="0" w:color="auto" w:frame="1"/>
          <w:lang w:val="cs-CZ"/>
        </w:rPr>
        <w:t>konst</w:t>
      </w:r>
      <w:proofErr w:type="spellEnd"/>
      <w:r w:rsidRPr="002A6DCF">
        <w:rPr>
          <w:bdr w:val="single" w:sz="4" w:space="0" w:color="auto" w:frame="1"/>
          <w:lang w:val="cs-CZ"/>
        </w:rPr>
        <w:t>.</w:t>
      </w:r>
      <w:r w:rsidRPr="002A6DCF">
        <w:rPr>
          <w:lang w:val="cs-CZ"/>
        </w:rPr>
        <w:t xml:space="preserve"> </w:t>
      </w:r>
      <w:r w:rsidR="00095368">
        <w:rPr>
          <w:lang w:val="cs-CZ"/>
        </w:rPr>
        <w:t xml:space="preserve"> </w:t>
      </w:r>
      <w:r w:rsidRPr="002A6DCF">
        <w:rPr>
          <w:lang w:val="cs-CZ"/>
        </w:rPr>
        <w:t xml:space="preserve">→ </w:t>
      </w:r>
      <w:r w:rsidRPr="002A6DCF">
        <w:rPr>
          <w:noProof/>
          <w:vertAlign w:val="subscript"/>
          <w:lang w:val="cs-CZ"/>
        </w:rPr>
        <w:drawing>
          <wp:inline distT="0" distB="0" distL="0" distR="0" wp14:anchorId="22347089" wp14:editId="50CDF97B">
            <wp:extent cx="1000125" cy="2286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DCF">
        <w:rPr>
          <w:lang w:val="cs-CZ"/>
        </w:rPr>
        <w:t>;</w:t>
      </w:r>
    </w:p>
    <w:p w14:paraId="7D426A31" w14:textId="77777777" w:rsidR="00095368" w:rsidRDefault="00095368" w:rsidP="002A6DCF">
      <w:pPr>
        <w:jc w:val="both"/>
        <w:rPr>
          <w:lang w:val="cs-CZ"/>
        </w:rPr>
      </w:pPr>
    </w:p>
    <w:p w14:paraId="77F0D8CD" w14:textId="77777777" w:rsidR="002A6DCF" w:rsidRPr="00095368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 </w:t>
      </w:r>
      <w:r w:rsidRPr="002A6DCF">
        <w:rPr>
          <w:i/>
          <w:lang w:val="cs-CZ"/>
        </w:rPr>
        <w:sym w:font="Symbol" w:char="F06B"/>
      </w:r>
      <w:r w:rsidRPr="002A6DCF">
        <w:rPr>
          <w:lang w:val="cs-CZ"/>
        </w:rPr>
        <w:t xml:space="preserve"> je </w:t>
      </w:r>
      <w:proofErr w:type="spellStart"/>
      <w:r w:rsidRPr="002A6DCF">
        <w:rPr>
          <w:u w:val="single"/>
          <w:lang w:val="cs-CZ"/>
        </w:rPr>
        <w:t>Poissonova</w:t>
      </w:r>
      <w:proofErr w:type="spellEnd"/>
      <w:r w:rsidRPr="002A6DCF">
        <w:rPr>
          <w:u w:val="single"/>
          <w:lang w:val="cs-CZ"/>
        </w:rPr>
        <w:t xml:space="preserve"> konstanta</w:t>
      </w:r>
    </w:p>
    <w:p w14:paraId="6DBA2C2D" w14:textId="77777777" w:rsidR="002A6DCF" w:rsidRPr="002A6DCF" w:rsidRDefault="002A6DCF" w:rsidP="002A6DCF">
      <w:pPr>
        <w:jc w:val="center"/>
        <w:rPr>
          <w:szCs w:val="20"/>
          <w:lang w:val="cs-CZ"/>
        </w:rPr>
      </w:pPr>
      <w:r w:rsidRPr="002A6DCF">
        <w:rPr>
          <w:noProof/>
          <w:vertAlign w:val="subscript"/>
          <w:lang w:val="cs-CZ"/>
        </w:rPr>
        <w:drawing>
          <wp:inline distT="0" distB="0" distL="0" distR="0" wp14:anchorId="158C925C" wp14:editId="4CD78E3D">
            <wp:extent cx="466725" cy="457200"/>
            <wp:effectExtent l="19050" t="19050" r="2857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A6DCF">
        <w:rPr>
          <w:lang w:val="cs-CZ"/>
        </w:rPr>
        <w:t>;</w:t>
      </w:r>
    </w:p>
    <w:p w14:paraId="1A3DB65B" w14:textId="77777777" w:rsidR="00095368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sym w:font="Symbol" w:char="F06B"/>
      </w:r>
      <w:r w:rsidRPr="002A6DCF">
        <w:rPr>
          <w:lang w:val="cs-CZ"/>
        </w:rPr>
        <w:t xml:space="preserve"> &gt; 1. </w:t>
      </w:r>
    </w:p>
    <w:p w14:paraId="4C898C36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 xml:space="preserve">Pro plyn s jednoatomovými molekulami </w:t>
      </w:r>
      <w:r w:rsidRPr="002A6DCF">
        <w:rPr>
          <w:lang w:val="cs-CZ"/>
        </w:rPr>
        <w:sym w:font="Symbol" w:char="F06B"/>
      </w:r>
      <w:r w:rsidRPr="002A6DCF">
        <w:rPr>
          <w:lang w:val="cs-CZ"/>
        </w:rPr>
        <w:t xml:space="preserve"> ≈ 5/3, pro plyn s dvouatomovými molekulami </w:t>
      </w:r>
      <w:r w:rsidRPr="002A6DCF">
        <w:rPr>
          <w:lang w:val="cs-CZ"/>
        </w:rPr>
        <w:sym w:font="Symbol" w:char="F06B"/>
      </w:r>
      <w:r w:rsidRPr="002A6DCF">
        <w:rPr>
          <w:lang w:val="cs-CZ"/>
        </w:rPr>
        <w:t xml:space="preserve"> ≈ 7/5</w:t>
      </w:r>
    </w:p>
    <w:p w14:paraId="53D4D493" w14:textId="77777777" w:rsidR="002A6DCF" w:rsidRPr="002A6DCF" w:rsidRDefault="002A6DCF" w:rsidP="002A6DCF">
      <w:pPr>
        <w:jc w:val="both"/>
        <w:rPr>
          <w:szCs w:val="20"/>
          <w:lang w:val="cs-CZ"/>
        </w:rPr>
      </w:pPr>
      <w:r w:rsidRPr="002A6DCF">
        <w:rPr>
          <w:lang w:val="cs-CZ"/>
        </w:rPr>
        <w:t> </w:t>
      </w:r>
    </w:p>
    <w:p w14:paraId="26EBE6E4" w14:textId="77777777" w:rsidR="002A6DCF" w:rsidRPr="002A6DCF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> </w:t>
      </w:r>
    </w:p>
    <w:p w14:paraId="43058A5A" w14:textId="77777777" w:rsidR="002A6DCF" w:rsidRDefault="002A6DCF" w:rsidP="002A6DCF">
      <w:pPr>
        <w:jc w:val="both"/>
        <w:rPr>
          <w:szCs w:val="20"/>
          <w:lang w:val="cs-CZ"/>
        </w:rPr>
      </w:pPr>
    </w:p>
    <w:p w14:paraId="46996A26" w14:textId="77777777" w:rsidR="00095368" w:rsidRPr="002A6DCF" w:rsidRDefault="00095368" w:rsidP="002A6DCF">
      <w:pPr>
        <w:jc w:val="both"/>
        <w:rPr>
          <w:szCs w:val="20"/>
          <w:lang w:val="cs-CZ"/>
        </w:rPr>
      </w:pPr>
    </w:p>
    <w:p w14:paraId="068A0A47" w14:textId="77777777" w:rsidR="00095368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 xml:space="preserve">Průběh tepelných dějů se zakresluje do </w:t>
      </w:r>
      <w:proofErr w:type="spellStart"/>
      <w:r w:rsidRPr="002A6DCF">
        <w:rPr>
          <w:b/>
          <w:lang w:val="cs-CZ"/>
        </w:rPr>
        <w:t>pV</w:t>
      </w:r>
      <w:proofErr w:type="spellEnd"/>
      <w:r w:rsidRPr="002A6DCF">
        <w:rPr>
          <w:b/>
          <w:lang w:val="cs-CZ"/>
        </w:rPr>
        <w:t xml:space="preserve"> diagramu</w:t>
      </w:r>
      <w:r w:rsidRPr="002A6DCF">
        <w:rPr>
          <w:lang w:val="cs-CZ"/>
        </w:rPr>
        <w:t xml:space="preserve">. </w:t>
      </w:r>
    </w:p>
    <w:p w14:paraId="78B8EA6E" w14:textId="77777777" w:rsidR="002A6DCF" w:rsidRPr="00095368" w:rsidRDefault="002A6DCF" w:rsidP="002A6DCF">
      <w:pPr>
        <w:jc w:val="both"/>
        <w:rPr>
          <w:lang w:val="cs-CZ"/>
        </w:rPr>
      </w:pPr>
      <w:r w:rsidRPr="002A6DCF">
        <w:rPr>
          <w:lang w:val="cs-CZ"/>
        </w:rPr>
        <w:t xml:space="preserve">Grafy stavu plynu v jednotlivých dějích se nazývají </w:t>
      </w:r>
      <w:r w:rsidRPr="002A6DCF">
        <w:rPr>
          <w:b/>
          <w:lang w:val="cs-CZ"/>
        </w:rPr>
        <w:t xml:space="preserve">izoterma, </w:t>
      </w:r>
      <w:proofErr w:type="spellStart"/>
      <w:r w:rsidRPr="002A6DCF">
        <w:rPr>
          <w:b/>
          <w:lang w:val="cs-CZ"/>
        </w:rPr>
        <w:t>izochora</w:t>
      </w:r>
      <w:proofErr w:type="spellEnd"/>
      <w:r w:rsidRPr="002A6DCF">
        <w:rPr>
          <w:b/>
          <w:lang w:val="cs-CZ"/>
        </w:rPr>
        <w:t>, izobara a adiabata</w:t>
      </w:r>
      <w:r w:rsidRPr="002A6DCF">
        <w:rPr>
          <w:lang w:val="cs-CZ"/>
        </w:rPr>
        <w:t xml:space="preserve">. </w:t>
      </w:r>
      <w:r w:rsidRPr="00095368">
        <w:rPr>
          <w:lang w:val="cs-CZ"/>
        </w:rPr>
        <w:t xml:space="preserve">Izoterma je křivka nepřímé úměrnosti, </w:t>
      </w:r>
      <w:proofErr w:type="spellStart"/>
      <w:r w:rsidRPr="00095368">
        <w:rPr>
          <w:lang w:val="cs-CZ"/>
        </w:rPr>
        <w:t>izochora</w:t>
      </w:r>
      <w:proofErr w:type="spellEnd"/>
      <w:r w:rsidRPr="00095368">
        <w:rPr>
          <w:lang w:val="cs-CZ"/>
        </w:rPr>
        <w:t xml:space="preserve"> je svislá přímka, izobara naopak vodorovná přímka. Adiabata je křivka podobná izotermě, ale je strmější.</w:t>
      </w:r>
    </w:p>
    <w:p w14:paraId="69067758" w14:textId="77777777" w:rsidR="002A6DCF" w:rsidRPr="00095368" w:rsidRDefault="002A6DCF" w:rsidP="002A6DCF">
      <w:pPr>
        <w:jc w:val="both"/>
        <w:rPr>
          <w:lang w:val="cs-CZ"/>
        </w:rPr>
      </w:pPr>
    </w:p>
    <w:p w14:paraId="381D4EB3" w14:textId="77777777" w:rsidR="002A6DCF" w:rsidRPr="00095368" w:rsidRDefault="002A6DCF" w:rsidP="002A6DCF">
      <w:pPr>
        <w:jc w:val="both"/>
        <w:rPr>
          <w:lang w:val="cs-CZ"/>
        </w:rPr>
      </w:pPr>
    </w:p>
    <w:p w14:paraId="5760F9CD" w14:textId="77777777" w:rsidR="002A6DCF" w:rsidRPr="00095368" w:rsidRDefault="002A6DCF" w:rsidP="002A6DCF"/>
    <w:p w14:paraId="3E5BFFF8" w14:textId="77777777" w:rsidR="00F81D25" w:rsidRDefault="00F81D25">
      <w:bookmarkStart w:id="0" w:name="_GoBack"/>
      <w:bookmarkEnd w:id="0"/>
    </w:p>
    <w:sectPr w:rsidR="00F8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CF"/>
    <w:rsid w:val="00095368"/>
    <w:rsid w:val="002A6DCF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E26CA1"/>
  <w15:chartTrackingRefBased/>
  <w15:docId w15:val="{D480C171-4287-4F22-93A8-1182C91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2A6DCF"/>
    <w:pPr>
      <w:keepNext/>
      <w:jc w:val="both"/>
      <w:outlineLvl w:val="2"/>
    </w:pPr>
    <w:rPr>
      <w:b/>
      <w:bCs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A6DCF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Nt_server_1\prenos\SO&#268;\Jandora\MF3.BMP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\\Nt_server_1\prenos\SO&#268;\Jandora\MF4.BMP" TargetMode="External"/><Relationship Id="rId5" Type="http://schemas.openxmlformats.org/officeDocument/2006/relationships/image" Target="file:///\\Nt_server_1\prenos\SO&#268;\Jandora\MF2.BMP" TargetMode="External"/><Relationship Id="rId15" Type="http://schemas.openxmlformats.org/officeDocument/2006/relationships/image" Target="file:///\\Nt_server_1\prenos\SO&#268;\Jandora\MF5.BMP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dcterms:created xsi:type="dcterms:W3CDTF">2018-01-02T18:42:00Z</dcterms:created>
  <dcterms:modified xsi:type="dcterms:W3CDTF">2018-01-02T18:42:00Z</dcterms:modified>
</cp:coreProperties>
</file>